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spacing w:afterLines="100"/>
        <w:jc w:val="center"/>
        <w:rPr>
          <w:rFonts w:ascii="方正小标宋简体" w:hAnsi="黑体" w:eastAsia="方正小标宋简体"/>
          <w:sz w:val="36"/>
          <w:szCs w:val="36"/>
        </w:rPr>
      </w:pPr>
      <w:r>
        <w:rPr>
          <w:rFonts w:hint="eastAsia" w:ascii="方正小标宋简体" w:hAnsi="黑体" w:eastAsia="方正小标宋简体" w:cs="方正小标宋简体"/>
          <w:sz w:val="36"/>
          <w:szCs w:val="36"/>
        </w:rPr>
        <w:t>中南林业科技大学涉外学院</w:t>
      </w:r>
      <w:r>
        <w:rPr>
          <w:rFonts w:ascii="方正小标宋简体" w:hAnsi="黑体" w:eastAsia="方正小标宋简体" w:cs="方正小标宋简体"/>
          <w:sz w:val="36"/>
          <w:szCs w:val="36"/>
        </w:rPr>
        <w:t>202</w:t>
      </w:r>
      <w:r>
        <w:rPr>
          <w:rFonts w:hint="eastAsia" w:ascii="方正小标宋简体" w:hAnsi="黑体" w:eastAsia="方正小标宋简体" w:cs="方正小标宋简体"/>
          <w:sz w:val="36"/>
          <w:szCs w:val="36"/>
        </w:rPr>
        <w:t>2年“专升本”</w:t>
      </w:r>
    </w:p>
    <w:p>
      <w:pPr>
        <w:widowControl/>
        <w:shd w:val="clear" w:color="auto"/>
        <w:spacing w:afterLines="100"/>
        <w:jc w:val="center"/>
        <w:rPr>
          <w:rFonts w:ascii="方正小标宋简体" w:hAnsi="黑体" w:eastAsia="方正小标宋简体"/>
          <w:sz w:val="36"/>
          <w:szCs w:val="36"/>
        </w:rPr>
      </w:pPr>
      <w:r>
        <w:rPr>
          <w:rFonts w:hint="eastAsia" w:ascii="方正小标宋简体" w:hAnsi="黑体" w:eastAsia="方正小标宋简体" w:cs="方正小标宋简体"/>
          <w:sz w:val="36"/>
          <w:szCs w:val="36"/>
        </w:rPr>
        <w:t>《</w:t>
      </w:r>
      <w:r>
        <w:rPr>
          <w:rFonts w:hint="eastAsia" w:ascii="方正小标宋简体" w:hAnsi="黑体" w:eastAsia="方正小标宋简体" w:cs="方正小标宋简体"/>
          <w:sz w:val="36"/>
          <w:szCs w:val="36"/>
          <w:lang w:eastAsia="zh-CN"/>
        </w:rPr>
        <w:t>宏观经济学</w:t>
      </w:r>
      <w:r>
        <w:rPr>
          <w:rFonts w:hint="eastAsia" w:ascii="方正小标宋简体" w:hAnsi="黑体" w:eastAsia="方正小标宋简体" w:cs="方正小标宋简体"/>
          <w:sz w:val="36"/>
          <w:szCs w:val="36"/>
        </w:rPr>
        <w:t>》课程考试大纲</w:t>
      </w:r>
    </w:p>
    <w:p>
      <w:pPr>
        <w:pStyle w:val="5"/>
        <w:widowControl/>
        <w:numPr>
          <w:ilvl w:val="0"/>
          <w:numId w:val="1"/>
        </w:numPr>
        <w:shd w:val="clear" w:color="auto"/>
        <w:spacing w:line="360" w:lineRule="auto"/>
        <w:ind w:firstLineChars="0"/>
        <w:rPr>
          <w:rFonts w:ascii="仿宋_GB2312" w:hAnsi="宋体" w:eastAsia="仿宋_GB2312"/>
          <w:b/>
          <w:bCs/>
          <w:color w:val="000000"/>
          <w:kern w:val="0"/>
          <w:sz w:val="24"/>
          <w:szCs w:val="24"/>
        </w:rPr>
      </w:pPr>
      <w:r>
        <w:rPr>
          <w:rFonts w:hint="eastAsia" w:ascii="仿宋_GB2312" w:hAnsi="宋体" w:eastAsia="仿宋_GB2312" w:cs="仿宋_GB2312"/>
          <w:b/>
          <w:bCs/>
          <w:color w:val="000000"/>
          <w:kern w:val="0"/>
          <w:sz w:val="24"/>
          <w:szCs w:val="24"/>
        </w:rPr>
        <w:t>考试基本要求</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本考试是为国际经济与贸易</w:t>
      </w:r>
      <w:bookmarkStart w:id="0" w:name="_GoBack"/>
      <w:r>
        <w:rPr>
          <w:rFonts w:hint="eastAsia" w:ascii="仿宋" w:hAnsi="仿宋" w:eastAsia="仿宋" w:cs="仿宋"/>
          <w:sz w:val="24"/>
          <w:szCs w:val="24"/>
        </w:rPr>
        <w:t>、金融专业招收“专升本”学生而实施的具有选拔功能的水平考试，其指导思想是既要有利于国家对高层次人才的选拔，又要有利于促进高等学校专业课程教学质量的提高，考试对象为202</w:t>
      </w:r>
      <w:r>
        <w:rPr>
          <w:rFonts w:hint="eastAsia" w:ascii="仿宋" w:hAnsi="仿宋" w:eastAsia="仿宋" w:cs="仿宋"/>
          <w:sz w:val="24"/>
          <w:szCs w:val="24"/>
          <w:lang w:val="en-US" w:eastAsia="zh-CN"/>
        </w:rPr>
        <w:t>2</w:t>
      </w:r>
      <w:r>
        <w:rPr>
          <w:rFonts w:hint="eastAsia" w:ascii="仿宋" w:hAnsi="仿宋" w:eastAsia="仿宋" w:cs="仿宋"/>
          <w:sz w:val="24"/>
          <w:szCs w:val="24"/>
        </w:rPr>
        <w:t>年参加“专升本”考试的考生。</w:t>
      </w:r>
    </w:p>
    <w:bookmarkEnd w:id="0"/>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通过本课程教学，要求学生了解和掌握宏观经济学的基本概念、基本原理、基本方法及其理论体系，并能够运用宏观经济理论和方法去分析和解决经济领域的相关问题。</w:t>
      </w:r>
    </w:p>
    <w:p>
      <w:pPr>
        <w:keepNext w:val="0"/>
        <w:keepLines w:val="0"/>
        <w:pageBreakBefore w:val="0"/>
        <w:widowControl/>
        <w:shd w:val="clear" w:color="auto"/>
        <w:kinsoku/>
        <w:wordWrap/>
        <w:overflowPunct/>
        <w:topLinePunct w:val="0"/>
        <w:autoSpaceDE/>
        <w:autoSpaceDN/>
        <w:bidi w:val="0"/>
        <w:adjustRightInd/>
        <w:snapToGrid/>
        <w:spacing w:line="560" w:lineRule="atLeast"/>
        <w:textAlignment w:val="auto"/>
        <w:rPr>
          <w:rFonts w:ascii="仿宋_GB2312" w:hAnsi="宋体" w:eastAsia="仿宋_GB2312"/>
          <w:color w:val="000000"/>
          <w:kern w:val="0"/>
          <w:sz w:val="24"/>
          <w:szCs w:val="24"/>
        </w:rPr>
      </w:pPr>
      <w:r>
        <w:rPr>
          <w:rFonts w:hint="eastAsia" w:ascii="仿宋_GB2312" w:hAnsi="宋体" w:eastAsia="仿宋_GB2312" w:cs="仿宋_GB2312"/>
          <w:b/>
          <w:bCs/>
          <w:color w:val="000000"/>
          <w:kern w:val="0"/>
          <w:sz w:val="24"/>
          <w:szCs w:val="24"/>
        </w:rPr>
        <w:t>二、考试方式、时间、题型及比例</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1．考试方法： 本课程考核采取闭卷考试方式。</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 考试时间： 1</w:t>
      </w:r>
      <w:r>
        <w:rPr>
          <w:rFonts w:hint="eastAsia" w:ascii="仿宋" w:hAnsi="仿宋" w:eastAsia="仿宋" w:cs="仿宋"/>
          <w:sz w:val="24"/>
          <w:szCs w:val="24"/>
          <w:lang w:val="en-US" w:eastAsia="zh-CN"/>
        </w:rPr>
        <w:t>0</w:t>
      </w:r>
      <w:r>
        <w:rPr>
          <w:rFonts w:hint="eastAsia" w:ascii="仿宋" w:hAnsi="仿宋" w:eastAsia="仿宋" w:cs="仿宋"/>
          <w:sz w:val="24"/>
          <w:szCs w:val="24"/>
        </w:rPr>
        <w:t>0分钟</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 试题类型和题型比例：</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总分值为100分。考试题型主要为：单项选择题、判断题、名词解释题、简答题、计算题和论述题。考试内容大致比例如下：</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 选择题：30%  判断题：15%  名词解释题：12%  简答题：18% </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计算题：10% 论述题：15%</w:t>
      </w:r>
    </w:p>
    <w:p>
      <w:pPr>
        <w:keepNext w:val="0"/>
        <w:keepLines w:val="0"/>
        <w:pageBreakBefore w:val="0"/>
        <w:widowControl/>
        <w:shd w:val="clear" w:color="auto"/>
        <w:kinsoku/>
        <w:wordWrap/>
        <w:overflowPunct/>
        <w:topLinePunct w:val="0"/>
        <w:autoSpaceDE/>
        <w:autoSpaceDN/>
        <w:bidi w:val="0"/>
        <w:adjustRightInd/>
        <w:snapToGrid/>
        <w:spacing w:line="560" w:lineRule="atLeast"/>
        <w:textAlignment w:val="auto"/>
        <w:rPr>
          <w:rFonts w:ascii="仿宋_GB2312" w:hAnsi="宋体" w:eastAsia="仿宋_GB2312"/>
          <w:color w:val="000000"/>
          <w:kern w:val="0"/>
          <w:sz w:val="24"/>
          <w:szCs w:val="24"/>
        </w:rPr>
      </w:pPr>
      <w:r>
        <w:rPr>
          <w:rFonts w:hint="eastAsia" w:ascii="仿宋_GB2312" w:hAnsi="宋体" w:eastAsia="仿宋_GB2312" w:cs="仿宋_GB2312"/>
          <w:b/>
          <w:bCs/>
          <w:color w:val="000000"/>
          <w:kern w:val="0"/>
          <w:sz w:val="24"/>
          <w:szCs w:val="24"/>
        </w:rPr>
        <w:t>三、考试内容及考试要求</w:t>
      </w:r>
    </w:p>
    <w:p>
      <w:pPr>
        <w:keepNext w:val="0"/>
        <w:keepLines w:val="0"/>
        <w:pageBreakBefore w:val="0"/>
        <w:shd w:val="clear"/>
        <w:kinsoku/>
        <w:wordWrap/>
        <w:overflowPunct/>
        <w:topLinePunct w:val="0"/>
        <w:autoSpaceDE/>
        <w:autoSpaceDN/>
        <w:bidi w:val="0"/>
        <w:adjustRightInd/>
        <w:snapToGrid/>
        <w:spacing w:line="560" w:lineRule="atLeast"/>
        <w:ind w:left="0"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rPr>
        <w:t xml:space="preserve">（一）   宏观经济的基本指标及衡量  </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考试内容     </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 ①宏观经济学的特点      ②国内生产总值   ③核算国民收入的两种方法④从国内生产总值到个人可支配收入   ⑤国民收入的基本公式     ⑥名义GDP和实际GDP</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考试要求：⑴识记：GDP；GNP；NDP；NI；PI；PDI；生产法；支出法；收入法。⑵领会：核算国民收入的支出和收入两种方法；国民收入的基本公式；实际和名义GDP的折算。⑶应用：两部门、三部门、四部门经济的恒等式。</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rPr>
        <w:t xml:space="preserve">（二） 短期经济波动模型：产品市场均衡    </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1.考试内容          </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①均衡产出   ②凯恩斯的消费理论     ③其他关于消费函数的理论 </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④两部门经济中国民收入的决定及变动     ⑤乘数论       ⑥三部门经济的收入决定及乘数⑦三部门经济中的各种乘数          ⑧四部门经济中国民收入的决定</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考试要求：⑴识记：消费函数；储蓄函数；边际消费倾向；边际储蓄倾向；乘数的系列概念。⑵领会：国民收入决定的基本方法；均衡条件以及影响均衡国民收入的因素。⑶应用：影响因素的变动对均衡国民收入的乘数效应以及乘数效应发挥作用的条件。</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（三）   产品市场和货币市场的一般均衡 </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考试内容        </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  ①投资的决定      ②IS曲线       ③利率的决定</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 ④LM曲线            ⑤IS-LM分析</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考试要求：⑴识记：投资函数；曲线；资本边际效益；投资边际效率；IS曲线；流动偏好陷阱；LM曲线。⑵领会：IS曲线（即产品市场均衡）和LM曲线（即货币市场的均衡）以及IS-LM模型（即产品市场和货币市场的一般均衡）；IS曲线的图形推导；IS曲线的移动；货币需求动机：货币供求均衡和利率的决定：LM曲线的图形推导；LM曲线的移动。⑶应用：理解IS曲线和LM曲线的移动对均衡收入的变动和利率的变动。</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rPr>
        <w:t xml:space="preserve">（四）  宏观经济政策理论和实践      </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考试内容          </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①经济政策目标  ②财政政策工具使用   ③货币政策正常工具及使用</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 4 \* GB3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④</w:t>
      </w:r>
      <w:r>
        <w:rPr>
          <w:rFonts w:hint="eastAsia" w:ascii="仿宋" w:hAnsi="仿宋" w:eastAsia="仿宋" w:cs="仿宋"/>
          <w:sz w:val="24"/>
          <w:szCs w:val="24"/>
        </w:rPr>
        <w:fldChar w:fldCharType="end"/>
      </w:r>
      <w:r>
        <w:rPr>
          <w:rFonts w:hint="eastAsia" w:ascii="仿宋" w:hAnsi="仿宋" w:eastAsia="仿宋" w:cs="仿宋"/>
          <w:sz w:val="24"/>
          <w:szCs w:val="24"/>
        </w:rPr>
        <w:t xml:space="preserve"> 财政政策效果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 5 \* GB3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⑤</w:t>
      </w:r>
      <w:r>
        <w:rPr>
          <w:rFonts w:hint="eastAsia" w:ascii="仿宋" w:hAnsi="仿宋" w:eastAsia="仿宋" w:cs="仿宋"/>
          <w:sz w:val="24"/>
          <w:szCs w:val="24"/>
        </w:rPr>
        <w:fldChar w:fldCharType="end"/>
      </w:r>
      <w:r>
        <w:rPr>
          <w:rFonts w:hint="eastAsia" w:ascii="仿宋" w:hAnsi="仿宋" w:eastAsia="仿宋" w:cs="仿宋"/>
          <w:sz w:val="24"/>
          <w:szCs w:val="24"/>
        </w:rPr>
        <w:t xml:space="preserve"> 货币政策效果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 6 \* GB3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⑥</w:t>
      </w:r>
      <w:r>
        <w:rPr>
          <w:rFonts w:hint="eastAsia" w:ascii="仿宋" w:hAnsi="仿宋" w:eastAsia="仿宋" w:cs="仿宋"/>
          <w:sz w:val="24"/>
          <w:szCs w:val="24"/>
        </w:rPr>
        <w:fldChar w:fldCharType="end"/>
      </w:r>
      <w:r>
        <w:rPr>
          <w:rFonts w:hint="eastAsia" w:ascii="仿宋" w:hAnsi="仿宋" w:eastAsia="仿宋" w:cs="仿宋"/>
          <w:sz w:val="24"/>
          <w:szCs w:val="24"/>
        </w:rPr>
        <w:t xml:space="preserve"> 两种政策的混合使用</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考试要求：⑴识记：财政政策；货币政策；挤出效应；政府支出、政府购买、政府转移支付；自动稳定器、斟酌使用的或权衡性的财政政策、补偿性财政政策；周期平衡预算；预算盈余；充分就业预算盈余；法定准备率、公开市场业务、再贴现率。⑵领会：经济持续增长；国际收支平衡；存款创造和货币供给、财政政策与货币政策对利率、消费、投资、GDP的影响；IS曲线和LM曲线的斜率对财政政策效果的影响；IS曲线和LM曲线的斜率对货币政策效果的影响；决定挤出效应的因素；凯恩斯主义的极端情况。⑶应用：分析两种政策的混合使用的效应、在市场机制条件下，怎样运用宏观经济政策工具对经济进行调节。</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（五）    总需求——总供给模型   </w:t>
      </w:r>
    </w:p>
    <w:p>
      <w:pPr>
        <w:keepNext w:val="0"/>
        <w:keepLines w:val="0"/>
        <w:pageBreakBefore w:val="0"/>
        <w:widowControl w:val="0"/>
        <w:numPr>
          <w:ilvl w:val="0"/>
          <w:numId w:val="4"/>
        </w:numPr>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考试内容          </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 ①总需求曲线       ②总供给的一般说明      ③古典总供给曲线</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④凯恩斯总供给曲线    ⑤常规总供给曲线   ⑥总需求——总供给模型对现实的解释</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考试要求：⑴识记：总需求、总需求函数、总需求曲线；宏观生产函数与潜在产量；潜在产量和充分就业产量；劳动需求曲线；总供给函数和总供给曲线。⑵领会：凯恩斯总供给曲线；常规总供给曲线。⑶应用：总需求曲线总供给曲线移动的后果。</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2" w:firstLineChars="200"/>
        <w:textAlignment w:val="auto"/>
        <w:rPr>
          <w:rFonts w:hint="eastAsia" w:ascii="宋体" w:hAnsi="宋体" w:eastAsia="宋体" w:cs="宋体"/>
          <w:sz w:val="24"/>
          <w:szCs w:val="24"/>
        </w:rPr>
      </w:pPr>
      <w:r>
        <w:rPr>
          <w:rFonts w:hint="eastAsia" w:ascii="仿宋" w:hAnsi="仿宋" w:eastAsia="仿宋" w:cs="仿宋"/>
          <w:b/>
          <w:bCs/>
          <w:sz w:val="24"/>
          <w:szCs w:val="24"/>
        </w:rPr>
        <w:t xml:space="preserve">（六）  失业与通货膨胀 </w:t>
      </w:r>
      <w:r>
        <w:rPr>
          <w:rFonts w:hint="eastAsia" w:ascii="宋体" w:hAnsi="宋体" w:eastAsia="宋体" w:cs="宋体"/>
          <w:b/>
          <w:bCs/>
          <w:sz w:val="24"/>
          <w:szCs w:val="24"/>
        </w:rPr>
        <w:t xml:space="preserve">   </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1.考试内容          </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 ①失业的描述      ②失业的经济学解释    ③失业的影响与奥肯定律  </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④通货膨胀的描述     ⑤通货膨胀的原因  ⑥通货膨胀的经济效应 </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 ⑦失业与通货膨胀的关系——菲利普斯曲线</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2．考试要求：⑴识记：充分就业、失业率、劳动力参与率、摩擦失业、非自愿失业、结构性失业、周期性失业、自然失业率“奥肯定律” （奥肯法则）；通货膨胀；需求拉动通货膨胀；成本推动通货膨胀；结构性通货膨胀；通货膨胀的持续；菲利普斯曲线、有预期的菲利普斯曲线。⑵领会：通货膨胀的原因；失业与通货膨胀的关系——菲利普斯曲线。⑶应用：通货膨胀的经济效应分析。</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2" w:firstLineChars="200"/>
        <w:textAlignment w:val="auto"/>
        <w:rPr>
          <w:rFonts w:hint="eastAsia" w:ascii="宋体" w:hAnsi="宋体" w:eastAsia="宋体" w:cs="宋体"/>
          <w:sz w:val="24"/>
          <w:szCs w:val="24"/>
        </w:rPr>
      </w:pPr>
      <w:r>
        <w:rPr>
          <w:rFonts w:hint="eastAsia" w:ascii="仿宋" w:hAnsi="仿宋" w:eastAsia="仿宋" w:cs="仿宋"/>
          <w:b/>
          <w:bCs/>
          <w:sz w:val="24"/>
          <w:szCs w:val="24"/>
        </w:rPr>
        <w:t xml:space="preserve">（七）  经济增长和经济周期理论  </w:t>
      </w:r>
      <w:r>
        <w:rPr>
          <w:rFonts w:hint="eastAsia" w:ascii="宋体" w:hAnsi="宋体" w:eastAsia="宋体" w:cs="宋体"/>
          <w:b/>
          <w:bCs/>
          <w:sz w:val="24"/>
          <w:szCs w:val="24"/>
        </w:rPr>
        <w:t xml:space="preserve">   </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lang w:val="en-US" w:eastAsia="zh-CN"/>
        </w:rPr>
        <w:t>1.</w:t>
      </w:r>
      <w:r>
        <w:rPr>
          <w:rFonts w:hint="eastAsia" w:ascii="仿宋" w:hAnsi="仿宋" w:eastAsia="仿宋" w:cs="仿宋"/>
          <w:bCs/>
          <w:sz w:val="24"/>
          <w:szCs w:val="24"/>
        </w:rPr>
        <w:t xml:space="preserve">考试内容          </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 xml:space="preserve"> ①国民收入长期增长趋势和波动      ②对经济增长的一般认识</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 xml:space="preserve">③增长核算     ④促进经济增长的政策     ⑤经济周期的含义与特征  </w:t>
      </w:r>
    </w:p>
    <w:p>
      <w:pPr>
        <w:keepNext w:val="0"/>
        <w:keepLines w:val="0"/>
        <w:pageBreakBefore w:val="0"/>
        <w:widowControl w:val="0"/>
        <w:shd w:val="clear"/>
        <w:kinsoku/>
        <w:wordWrap/>
        <w:overflowPunct/>
        <w:topLinePunct w:val="0"/>
        <w:autoSpaceDE/>
        <w:autoSpaceDN/>
        <w:bidi w:val="0"/>
        <w:adjustRightInd/>
        <w:snapToGrid/>
        <w:spacing w:line="560" w:lineRule="atLeast"/>
        <w:ind w:left="0"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2．考试要求：⑴识记：经济增长与经济发展；经济周期；加速原理、加速数。⑵领会：经济增长的因素分析；经济周期理论。⑶应用：促进经济增长的政策。</w:t>
      </w:r>
    </w:p>
    <w:p>
      <w:pPr>
        <w:widowControl/>
        <w:shd w:val="clear" w:color="auto"/>
        <w:spacing w:line="360" w:lineRule="auto"/>
        <w:rPr>
          <w:rFonts w:ascii="仿宋_GB2312" w:hAnsi="宋体" w:eastAsia="仿宋_GB2312"/>
          <w:color w:val="000000"/>
          <w:kern w:val="0"/>
          <w:sz w:val="24"/>
          <w:szCs w:val="24"/>
        </w:rPr>
      </w:pPr>
      <w:r>
        <w:rPr>
          <w:rFonts w:hint="eastAsia" w:ascii="仿宋_GB2312" w:hAnsi="宋体" w:eastAsia="仿宋_GB2312" w:cs="仿宋_GB2312"/>
          <w:b/>
          <w:bCs/>
          <w:color w:val="000000"/>
          <w:kern w:val="0"/>
          <w:sz w:val="24"/>
          <w:szCs w:val="24"/>
        </w:rPr>
        <w:t>四、其他说明</w:t>
      </w:r>
    </w:p>
    <w:p>
      <w:pPr>
        <w:pageBreakBefore w:val="0"/>
        <w:shd w:val="clear"/>
        <w:kinsoku/>
        <w:wordWrap/>
        <w:overflowPunct/>
        <w:topLinePunct w:val="0"/>
        <w:autoSpaceDE/>
        <w:autoSpaceDN/>
        <w:bidi w:val="0"/>
        <w:spacing w:line="480" w:lineRule="atLeast"/>
        <w:ind w:left="0" w:firstLine="482" w:firstLineChars="200"/>
        <w:textAlignment w:val="auto"/>
        <w:rPr>
          <w:rFonts w:hint="eastAsia" w:ascii="宋体" w:hAnsi="宋体" w:cs="宋体"/>
          <w:b/>
          <w:bCs/>
          <w:sz w:val="24"/>
          <w:szCs w:val="24"/>
          <w:lang w:eastAsia="zh-CN"/>
        </w:rPr>
      </w:pPr>
      <w:r>
        <w:rPr>
          <w:rFonts w:hint="eastAsia" w:ascii="宋体" w:hAnsi="宋体" w:cs="宋体"/>
          <w:b/>
          <w:bCs/>
          <w:sz w:val="24"/>
          <w:szCs w:val="24"/>
          <w:lang w:eastAsia="zh-CN"/>
        </w:rPr>
        <w:t>无</w:t>
      </w:r>
    </w:p>
    <w:p>
      <w:pPr>
        <w:widowControl/>
        <w:shd w:val="clear" w:color="auto"/>
        <w:spacing w:line="360" w:lineRule="auto"/>
        <w:rPr>
          <w:rFonts w:ascii="仿宋_GB2312" w:hAnsi="宋体" w:eastAsia="仿宋_GB2312"/>
          <w:color w:val="000000"/>
          <w:kern w:val="0"/>
          <w:sz w:val="24"/>
          <w:szCs w:val="24"/>
        </w:rPr>
      </w:pPr>
      <w:r>
        <w:rPr>
          <w:rFonts w:hint="eastAsia" w:ascii="仿宋_GB2312" w:hAnsi="宋体" w:eastAsia="仿宋_GB2312" w:cs="仿宋_GB2312"/>
          <w:b/>
          <w:bCs/>
          <w:color w:val="000000"/>
          <w:kern w:val="0"/>
          <w:sz w:val="24"/>
          <w:szCs w:val="24"/>
        </w:rPr>
        <w:t>五、参考书目</w:t>
      </w:r>
    </w:p>
    <w:p>
      <w:pPr>
        <w:pageBreakBefore w:val="0"/>
        <w:shd w:val="clear"/>
        <w:kinsoku/>
        <w:wordWrap/>
        <w:overflowPunct/>
        <w:topLinePunct w:val="0"/>
        <w:autoSpaceDE/>
        <w:autoSpaceDN/>
        <w:bidi w:val="0"/>
        <w:spacing w:line="480" w:lineRule="atLeast"/>
        <w:ind w:left="0" w:firstLine="480" w:firstLineChars="200"/>
        <w:textAlignment w:val="auto"/>
        <w:rPr>
          <w:rFonts w:hint="eastAsia" w:ascii="仿宋" w:hAnsi="仿宋" w:eastAsia="仿宋" w:cs="仿宋"/>
          <w:bCs/>
          <w:sz w:val="24"/>
          <w:szCs w:val="24"/>
          <w:lang w:eastAsia="zh-CN"/>
        </w:rPr>
      </w:pPr>
      <w:r>
        <w:rPr>
          <w:rFonts w:hint="eastAsia" w:ascii="仿宋" w:hAnsi="仿宋" w:eastAsia="仿宋" w:cs="仿宋"/>
          <w:bCs/>
          <w:sz w:val="24"/>
          <w:szCs w:val="24"/>
        </w:rPr>
        <w:t xml:space="preserve"> 教材：《西方经济学》（宏观部分）</w:t>
      </w:r>
      <w:r>
        <w:rPr>
          <w:rFonts w:hint="eastAsia" w:ascii="仿宋" w:hAnsi="仿宋" w:eastAsia="仿宋" w:cs="仿宋"/>
          <w:bCs/>
          <w:sz w:val="24"/>
          <w:szCs w:val="24"/>
          <w:lang w:eastAsia="zh-CN"/>
        </w:rPr>
        <w:t>（第七版）</w:t>
      </w:r>
      <w:r>
        <w:rPr>
          <w:rFonts w:hint="eastAsia" w:ascii="仿宋" w:hAnsi="仿宋" w:eastAsia="仿宋" w:cs="仿宋"/>
          <w:bCs/>
          <w:sz w:val="24"/>
          <w:szCs w:val="24"/>
        </w:rPr>
        <w:t>，高鸿业主编，中国人民大学出版社，201</w:t>
      </w:r>
      <w:r>
        <w:rPr>
          <w:rFonts w:hint="eastAsia" w:ascii="仿宋" w:hAnsi="仿宋" w:eastAsia="仿宋" w:cs="仿宋"/>
          <w:bCs/>
          <w:sz w:val="24"/>
          <w:szCs w:val="24"/>
          <w:lang w:val="en-US" w:eastAsia="zh-CN"/>
        </w:rPr>
        <w:t>8</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16A3AB"/>
    <w:multiLevelType w:val="singleLevel"/>
    <w:tmpl w:val="9016A3AB"/>
    <w:lvl w:ilvl="0" w:tentative="0">
      <w:start w:val="1"/>
      <w:numFmt w:val="decimal"/>
      <w:suff w:val="nothing"/>
      <w:lvlText w:val="%1．"/>
      <w:lvlJc w:val="left"/>
    </w:lvl>
  </w:abstractNum>
  <w:abstractNum w:abstractNumId="1">
    <w:nsid w:val="B77A5549"/>
    <w:multiLevelType w:val="singleLevel"/>
    <w:tmpl w:val="B77A5549"/>
    <w:lvl w:ilvl="0" w:tentative="0">
      <w:start w:val="1"/>
      <w:numFmt w:val="decimal"/>
      <w:suff w:val="nothing"/>
      <w:lvlText w:val="%1．"/>
      <w:lvlJc w:val="left"/>
    </w:lvl>
  </w:abstractNum>
  <w:abstractNum w:abstractNumId="2">
    <w:nsid w:val="C029788B"/>
    <w:multiLevelType w:val="singleLevel"/>
    <w:tmpl w:val="C029788B"/>
    <w:lvl w:ilvl="0" w:tentative="0">
      <w:start w:val="1"/>
      <w:numFmt w:val="decimal"/>
      <w:suff w:val="nothing"/>
      <w:lvlText w:val="%1．"/>
      <w:lvlJc w:val="left"/>
    </w:lvl>
  </w:abstractNum>
  <w:abstractNum w:abstractNumId="3">
    <w:nsid w:val="68275F2E"/>
    <w:multiLevelType w:val="multilevel"/>
    <w:tmpl w:val="68275F2E"/>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DB1731"/>
    <w:rsid w:val="31F85D5A"/>
    <w:rsid w:val="458A4558"/>
    <w:rsid w:val="47627791"/>
    <w:rsid w:val="55327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rFonts w:ascii="Times New Roman" w:hAnsi="Times New Roman" w:eastAsia="宋体"/>
      <w:b/>
      <w:bCs/>
      <w:kern w:val="44"/>
      <w:sz w:val="36"/>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5">
    <w:name w:val="List Paragraph"/>
    <w:basedOn w:val="1"/>
    <w:qFormat/>
    <w:uiPriority w:val="99"/>
    <w:pPr>
      <w:ind w:firstLine="420" w:firstLineChars="200"/>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MBENBEN</dc:creator>
  <cp:lastModifiedBy>6</cp:lastModifiedBy>
  <dcterms:modified xsi:type="dcterms:W3CDTF">2022-02-24T00:30:12Z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66D3FB77B2F44B82A0F6EB5BA0F8CC7C</vt:lpwstr>
  </property>
</Properties>
</file>